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2BA35">
      <w:pPr>
        <w:snapToGrid w:val="0"/>
        <w:spacing w:line="360" w:lineRule="auto"/>
        <w:jc w:val="left"/>
        <w:rPr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-2"/>
          <w:sz w:val="32"/>
          <w:szCs w:val="32"/>
          <w:highlight w:val="none"/>
          <w:lang w:val="en-US" w:eastAsia="zh-CN" w:bidi="zh-CN"/>
        </w:rPr>
        <w:t>附件</w:t>
      </w:r>
      <w:r>
        <w:rPr>
          <w:rFonts w:hint="eastAsia" w:cs="仿宋"/>
          <w:b w:val="0"/>
          <w:bCs w:val="0"/>
          <w:color w:val="auto"/>
          <w:spacing w:val="-2"/>
          <w:sz w:val="32"/>
          <w:szCs w:val="32"/>
          <w:highlight w:val="none"/>
          <w:lang w:val="en-US" w:eastAsia="zh-CN" w:bidi="zh-CN"/>
        </w:rPr>
        <w:t>9</w:t>
      </w:r>
      <w:r>
        <w:rPr>
          <w:rFonts w:hint="eastAsia" w:ascii="仿宋" w:hAnsi="仿宋" w:eastAsia="仿宋" w:cs="仿宋"/>
          <w:b w:val="0"/>
          <w:bCs w:val="0"/>
          <w:color w:val="auto"/>
          <w:spacing w:val="-2"/>
          <w:sz w:val="32"/>
          <w:szCs w:val="32"/>
          <w:highlight w:val="none"/>
          <w:lang w:val="en-US" w:eastAsia="zh-CN" w:bidi="zh-CN"/>
        </w:rPr>
        <w:t>：</w:t>
      </w:r>
    </w:p>
    <w:p w14:paraId="437FBE7A">
      <w:pPr>
        <w:pStyle w:val="3"/>
        <w:spacing w:before="171"/>
        <w:ind w:left="0" w:leftChars="0" w:firstLine="0" w:firstLineChars="0"/>
        <w:jc w:val="center"/>
        <w:rPr>
          <w:rFonts w:hint="eastAsia"/>
          <w:color w:val="auto"/>
          <w:highlight w:val="none"/>
          <w:lang w:val="en-US"/>
        </w:rPr>
      </w:pPr>
      <w:r>
        <w:rPr>
          <w:color w:val="auto"/>
          <w:highlight w:val="none"/>
        </w:rPr>
        <w:t>南昌航空大学</w:t>
      </w:r>
      <w:r>
        <w:rPr>
          <w:rFonts w:hint="eastAsia"/>
          <w:color w:val="auto"/>
          <w:highlight w:val="none"/>
          <w:lang w:val="en-US"/>
        </w:rPr>
        <w:t>土木</w:t>
      </w:r>
      <w:r>
        <w:rPr>
          <w:rFonts w:hint="eastAsia"/>
          <w:color w:val="auto"/>
          <w:highlight w:val="none"/>
          <w:lang w:val="en-US" w:eastAsia="zh-CN"/>
        </w:rPr>
        <w:t>与交通</w:t>
      </w:r>
      <w:r>
        <w:rPr>
          <w:rFonts w:hint="eastAsia"/>
          <w:color w:val="auto"/>
          <w:highlight w:val="none"/>
          <w:lang w:val="en-US"/>
        </w:rPr>
        <w:t>学院</w:t>
      </w:r>
    </w:p>
    <w:p w14:paraId="648FDAC7">
      <w:pPr>
        <w:pStyle w:val="3"/>
        <w:spacing w:before="171"/>
        <w:ind w:left="0" w:leftChars="0" w:firstLine="0" w:firstLineChars="0"/>
        <w:jc w:val="center"/>
        <w:rPr>
          <w:color w:val="auto"/>
          <w:highlight w:val="none"/>
        </w:rPr>
      </w:pPr>
      <w:r>
        <w:rPr>
          <w:color w:val="auto"/>
          <w:highlight w:val="none"/>
        </w:rPr>
        <w:t>推荐免试攻读硕士学位研究生复试</w:t>
      </w:r>
      <w:r>
        <w:rPr>
          <w:rFonts w:hint="eastAsia"/>
          <w:color w:val="auto"/>
          <w:highlight w:val="none"/>
          <w:lang w:val="en-US"/>
        </w:rPr>
        <w:t>细则</w:t>
      </w:r>
    </w:p>
    <w:p w14:paraId="2A32E845">
      <w:pPr>
        <w:pStyle w:val="5"/>
        <w:rPr>
          <w:rFonts w:ascii="黑体"/>
          <w:b/>
          <w:color w:val="auto"/>
          <w:sz w:val="38"/>
          <w:highlight w:val="none"/>
        </w:rPr>
      </w:pPr>
    </w:p>
    <w:p w14:paraId="13F1959F">
      <w:pPr>
        <w:ind w:firstLine="643" w:firstLineChars="200"/>
        <w:rPr>
          <w:rFonts w:ascii="黑体" w:eastAsia="黑体"/>
          <w:b/>
          <w:color w:val="auto"/>
          <w:sz w:val="32"/>
          <w:highlight w:val="none"/>
        </w:rPr>
      </w:pPr>
      <w:r>
        <w:rPr>
          <w:rFonts w:hint="eastAsia" w:ascii="黑体" w:eastAsia="黑体"/>
          <w:b/>
          <w:color w:val="auto"/>
          <w:sz w:val="32"/>
          <w:highlight w:val="none"/>
        </w:rPr>
        <w:t>一、复试原则</w:t>
      </w:r>
    </w:p>
    <w:p w14:paraId="2E6E0CC1">
      <w:pPr>
        <w:pStyle w:val="5"/>
        <w:spacing w:before="150" w:line="328" w:lineRule="auto"/>
        <w:ind w:right="487" w:firstLine="608" w:firstLineChars="200"/>
        <w:rPr>
          <w:color w:val="auto"/>
          <w:highlight w:val="none"/>
        </w:rPr>
      </w:pPr>
      <w:r>
        <w:rPr>
          <w:color w:val="auto"/>
          <w:w w:val="95"/>
          <w:highlight w:val="none"/>
        </w:rPr>
        <w:t>（一</w:t>
      </w:r>
      <w:r>
        <w:rPr>
          <w:color w:val="auto"/>
          <w:spacing w:val="-15"/>
          <w:w w:val="95"/>
          <w:highlight w:val="none"/>
        </w:rPr>
        <w:t>）</w:t>
      </w:r>
      <w:r>
        <w:rPr>
          <w:color w:val="auto"/>
          <w:spacing w:val="-20"/>
          <w:w w:val="95"/>
          <w:highlight w:val="none"/>
        </w:rPr>
        <w:t>德、智、体全面衡量，发现特长，择优录取，宁缺</w:t>
      </w:r>
      <w:r>
        <w:rPr>
          <w:color w:val="auto"/>
          <w:spacing w:val="-12"/>
          <w:highlight w:val="none"/>
        </w:rPr>
        <w:t>毋滥。</w:t>
      </w:r>
    </w:p>
    <w:p w14:paraId="26A52C30">
      <w:pPr>
        <w:pStyle w:val="5"/>
        <w:spacing w:line="328" w:lineRule="auto"/>
        <w:ind w:right="339" w:firstLine="640" w:firstLineChars="200"/>
        <w:rPr>
          <w:color w:val="auto"/>
          <w:highlight w:val="none"/>
        </w:rPr>
      </w:pPr>
      <w:r>
        <w:rPr>
          <w:color w:val="auto"/>
          <w:highlight w:val="none"/>
        </w:rPr>
        <w:t>（二</w:t>
      </w:r>
      <w:r>
        <w:rPr>
          <w:color w:val="auto"/>
          <w:spacing w:val="-44"/>
          <w:highlight w:val="none"/>
        </w:rPr>
        <w:t>）</w:t>
      </w:r>
      <w:r>
        <w:rPr>
          <w:color w:val="auto"/>
          <w:spacing w:val="-13"/>
          <w:highlight w:val="none"/>
        </w:rPr>
        <w:t>程序透明、操作规范、结果公开、监督机制健全，</w:t>
      </w:r>
      <w:r>
        <w:rPr>
          <w:color w:val="auto"/>
          <w:highlight w:val="none"/>
        </w:rPr>
        <w:t>切实维护考生的合法权益。</w:t>
      </w:r>
    </w:p>
    <w:p w14:paraId="5789DCC8">
      <w:pPr>
        <w:pStyle w:val="3"/>
        <w:spacing w:line="408" w:lineRule="exact"/>
        <w:ind w:left="0" w:firstLine="643" w:firstLineChars="200"/>
        <w:rPr>
          <w:color w:val="auto"/>
          <w:highlight w:val="none"/>
        </w:rPr>
      </w:pPr>
      <w:r>
        <w:rPr>
          <w:color w:val="auto"/>
          <w:highlight w:val="none"/>
        </w:rPr>
        <w:t>二、复试细则与组织管理</w:t>
      </w:r>
    </w:p>
    <w:p w14:paraId="3451C018">
      <w:pPr>
        <w:pStyle w:val="10"/>
        <w:widowControl w:val="0"/>
        <w:adjustRightInd w:val="0"/>
        <w:snapToGrid w:val="0"/>
        <w:spacing w:before="0" w:after="0" w:line="324" w:lineRule="auto"/>
        <w:ind w:right="-100" w:firstLine="640" w:firstLineChars="200"/>
        <w:rPr>
          <w:rFonts w:ascii="仿宋_GB2312" w:hAnsi="Times New Roman" w:eastAsia="仿宋_GB2312" w:cs="仿宋_GB2312"/>
          <w:bCs/>
          <w:color w:val="auto"/>
          <w:sz w:val="32"/>
          <w:szCs w:val="32"/>
          <w:highlight w:val="none"/>
          <w:lang w:val="en-US" w:bidi="ar"/>
        </w:rPr>
      </w:pPr>
      <w:r>
        <w:rPr>
          <w:rFonts w:hint="eastAsia" w:ascii="仿宋_GB2312" w:hAnsi="Times New Roman" w:eastAsia="仿宋_GB2312" w:cs="仿宋_GB2312"/>
          <w:bCs/>
          <w:color w:val="auto"/>
          <w:sz w:val="32"/>
          <w:szCs w:val="32"/>
          <w:highlight w:val="none"/>
          <w:lang w:val="en-US" w:eastAsia="zh-CN" w:bidi="ar"/>
        </w:rPr>
        <w:t>学院</w:t>
      </w:r>
      <w:r>
        <w:rPr>
          <w:rFonts w:hint="eastAsia" w:ascii="仿宋_GB2312" w:hAnsi="Times New Roman" w:eastAsia="仿宋_GB2312" w:cs="仿宋_GB2312"/>
          <w:bCs/>
          <w:color w:val="auto"/>
          <w:sz w:val="32"/>
          <w:szCs w:val="32"/>
          <w:highlight w:val="none"/>
          <w:lang w:bidi="ar"/>
        </w:rPr>
        <w:t>成立复试小组，</w:t>
      </w:r>
      <w:r>
        <w:rPr>
          <w:rFonts w:hint="eastAsia" w:ascii="仿宋_GB2312" w:hAnsi="Times New Roman" w:eastAsia="仿宋_GB2312" w:cs="仿宋_GB2312"/>
          <w:bCs/>
          <w:color w:val="auto"/>
          <w:sz w:val="32"/>
          <w:szCs w:val="32"/>
          <w:highlight w:val="none"/>
          <w:lang w:val="en-US" w:bidi="ar"/>
        </w:rPr>
        <w:t>具体成员名单如下：</w:t>
      </w:r>
    </w:p>
    <w:p w14:paraId="25AC5EF8">
      <w:pPr>
        <w:pStyle w:val="10"/>
        <w:adjustRightInd w:val="0"/>
        <w:snapToGrid w:val="0"/>
        <w:spacing w:line="324" w:lineRule="auto"/>
        <w:ind w:right="-100" w:firstLine="640" w:firstLineChars="200"/>
        <w:rPr>
          <w:rFonts w:ascii="仿宋_GB2312" w:hAnsi="Times New Roman" w:eastAsia="仿宋_GB2312" w:cs="仿宋_GB2312"/>
          <w:bCs/>
          <w:color w:val="auto"/>
          <w:sz w:val="32"/>
          <w:szCs w:val="32"/>
          <w:highlight w:val="none"/>
          <w:lang w:val="en-US" w:bidi="ar"/>
        </w:rPr>
      </w:pPr>
      <w:r>
        <w:rPr>
          <w:rFonts w:hint="eastAsia" w:ascii="仿宋_GB2312" w:hAnsi="Times New Roman" w:eastAsia="仿宋_GB2312" w:cs="仿宋_GB2312"/>
          <w:bCs/>
          <w:color w:val="auto"/>
          <w:sz w:val="32"/>
          <w:szCs w:val="32"/>
          <w:highlight w:val="none"/>
          <w:lang w:val="en-US" w:bidi="ar"/>
        </w:rPr>
        <w:t>组  长：吕辉</w:t>
      </w:r>
    </w:p>
    <w:p w14:paraId="4AD82C37">
      <w:pPr>
        <w:pStyle w:val="5"/>
        <w:spacing w:before="3"/>
        <w:ind w:firstLine="640" w:firstLineChars="200"/>
        <w:rPr>
          <w:rFonts w:hint="eastAsia" w:eastAsia="仿宋_GB2312"/>
          <w:color w:val="auto"/>
          <w:highlight w:val="none"/>
          <w:lang w:eastAsia="zh-CN"/>
        </w:rPr>
      </w:pPr>
      <w:r>
        <w:rPr>
          <w:rFonts w:hint="eastAsia" w:ascii="仿宋_GB2312" w:hAnsi="Times New Roman" w:eastAsia="仿宋_GB2312" w:cs="仿宋_GB2312"/>
          <w:bCs/>
          <w:color w:val="auto"/>
          <w:highlight w:val="none"/>
          <w:lang w:val="en-US" w:bidi="ar"/>
        </w:rPr>
        <w:t xml:space="preserve">成  员：周光权 钟菊芳 郭晓钧 郭慧锋 万灵 </w:t>
      </w:r>
      <w:r>
        <w:rPr>
          <w:rFonts w:hint="eastAsia" w:ascii="仿宋_GB2312" w:hAnsi="Times New Roman" w:eastAsia="仿宋_GB2312" w:cs="仿宋_GB2312"/>
          <w:bCs/>
          <w:color w:val="auto"/>
          <w:highlight w:val="none"/>
          <w:lang w:val="en-US" w:eastAsia="zh-CN" w:bidi="ar"/>
        </w:rPr>
        <w:t>郑云扬</w:t>
      </w:r>
    </w:p>
    <w:p w14:paraId="6376E284">
      <w:pPr>
        <w:pStyle w:val="3"/>
        <w:spacing w:before="151" w:line="326" w:lineRule="auto"/>
        <w:ind w:left="0" w:right="440" w:firstLine="643" w:firstLineChars="200"/>
        <w:rPr>
          <w:color w:val="auto"/>
          <w:highlight w:val="none"/>
        </w:rPr>
      </w:pPr>
      <w:r>
        <w:rPr>
          <w:color w:val="auto"/>
          <w:highlight w:val="none"/>
        </w:rPr>
        <w:t>三、复试内容</w:t>
      </w:r>
    </w:p>
    <w:p w14:paraId="6A200874">
      <w:pPr>
        <w:pStyle w:val="5"/>
        <w:spacing w:line="328" w:lineRule="auto"/>
        <w:ind w:right="456" w:firstLine="640"/>
        <w:rPr>
          <w:color w:val="auto"/>
          <w:highlight w:val="none"/>
        </w:rPr>
      </w:pPr>
      <w:r>
        <w:rPr>
          <w:color w:val="auto"/>
          <w:highlight w:val="none"/>
        </w:rPr>
        <w:t>（一）业务能力测试，</w:t>
      </w:r>
      <w:r>
        <w:rPr>
          <w:rFonts w:hint="eastAsia"/>
          <w:color w:val="auto"/>
          <w:highlight w:val="none"/>
          <w:lang w:val="en-US"/>
        </w:rPr>
        <w:t>复试小组</w:t>
      </w:r>
      <w:r>
        <w:rPr>
          <w:color w:val="auto"/>
          <w:highlight w:val="none"/>
        </w:rPr>
        <w:t>结合考生本科专业背景提问。</w:t>
      </w:r>
    </w:p>
    <w:p w14:paraId="505FFF00">
      <w:pPr>
        <w:pStyle w:val="5"/>
        <w:spacing w:line="328" w:lineRule="auto"/>
        <w:ind w:right="471" w:firstLine="640"/>
        <w:jc w:val="both"/>
        <w:rPr>
          <w:color w:val="auto"/>
          <w:spacing w:val="-13"/>
          <w:w w:val="95"/>
          <w:highlight w:val="none"/>
        </w:rPr>
      </w:pPr>
      <w:r>
        <w:rPr>
          <w:color w:val="auto"/>
          <w:spacing w:val="-2"/>
          <w:highlight w:val="none"/>
        </w:rPr>
        <w:t>着重考察从事科学研究的潜力，能够运用所学知识，对</w:t>
      </w:r>
      <w:r>
        <w:rPr>
          <w:color w:val="auto"/>
          <w:spacing w:val="10"/>
          <w:highlight w:val="none"/>
        </w:rPr>
        <w:t>本学科领域中存在的问题进行深入的研究与探索或从事工</w:t>
      </w:r>
      <w:r>
        <w:rPr>
          <w:color w:val="auto"/>
          <w:spacing w:val="-1"/>
          <w:highlight w:val="none"/>
        </w:rPr>
        <w:t>程技术研究的潜力，能够运用所学知识，对本专业工程技术</w:t>
      </w:r>
      <w:r>
        <w:rPr>
          <w:color w:val="auto"/>
          <w:spacing w:val="-13"/>
          <w:w w:val="95"/>
          <w:highlight w:val="none"/>
        </w:rPr>
        <w:t>中存在的问题进行分析、提出创新型的设计和技术改造方案。</w:t>
      </w:r>
    </w:p>
    <w:p w14:paraId="130229C1">
      <w:pPr>
        <w:pStyle w:val="5"/>
        <w:spacing w:line="328" w:lineRule="auto"/>
        <w:ind w:right="471" w:firstLine="640"/>
        <w:jc w:val="both"/>
        <w:rPr>
          <w:rFonts w:ascii="仿宋_GB2312" w:hAnsi="Times New Roman" w:eastAsia="仿宋_GB2312" w:cs="仿宋_GB2312"/>
          <w:bCs/>
          <w:color w:val="auto"/>
          <w:highlight w:val="none"/>
          <w:lang w:bidi="ar"/>
        </w:rPr>
      </w:pPr>
      <w:r>
        <w:rPr>
          <w:rFonts w:hint="eastAsia" w:eastAsia="仿宋_GB2312"/>
          <w:color w:val="auto"/>
          <w:spacing w:val="-13"/>
          <w:w w:val="95"/>
          <w:highlight w:val="none"/>
        </w:rPr>
        <w:t>（</w:t>
      </w:r>
      <w:r>
        <w:rPr>
          <w:rFonts w:hint="eastAsia" w:eastAsia="仿宋_GB2312"/>
          <w:color w:val="auto"/>
          <w:spacing w:val="-13"/>
          <w:w w:val="95"/>
          <w:highlight w:val="none"/>
          <w:lang w:val="en-US"/>
        </w:rPr>
        <w:t>二</w:t>
      </w:r>
      <w:r>
        <w:rPr>
          <w:rFonts w:hint="eastAsia" w:eastAsia="仿宋_GB2312"/>
          <w:color w:val="auto"/>
          <w:spacing w:val="-13"/>
          <w:w w:val="95"/>
          <w:highlight w:val="none"/>
        </w:rPr>
        <w:t>）</w:t>
      </w:r>
      <w:r>
        <w:rPr>
          <w:rFonts w:hint="eastAsia" w:ascii="仿宋_GB2312" w:hAnsi="Times New Roman" w:eastAsia="仿宋_GB2312" w:cs="仿宋_GB2312"/>
          <w:bCs/>
          <w:color w:val="auto"/>
          <w:highlight w:val="none"/>
          <w:lang w:bidi="ar"/>
        </w:rPr>
        <w:t>综合素质考核主要考察综合素质和能力，如：思想政治道德品质、大学阶段学习情况、外语交流能力、纪律性、协作性、心理健康情况、人文素养、在校期间应征入伍及学术成果（对获得与专业相关的竞赛奖项可适当加分，团体奖应根据获奖排名区别对待，具体加分标准由各学院在复试细则中规定）。</w:t>
      </w:r>
    </w:p>
    <w:p w14:paraId="094EAA93">
      <w:pPr>
        <w:pStyle w:val="3"/>
        <w:spacing w:line="405" w:lineRule="exact"/>
        <w:ind w:left="0" w:firstLine="643" w:firstLineChars="200"/>
        <w:rPr>
          <w:color w:val="auto"/>
          <w:highlight w:val="none"/>
        </w:rPr>
      </w:pPr>
      <w:r>
        <w:rPr>
          <w:color w:val="auto"/>
          <w:highlight w:val="none"/>
        </w:rPr>
        <w:t>四、复试成绩及注意事项</w:t>
      </w:r>
    </w:p>
    <w:p w14:paraId="4E0CEF9F">
      <w:pPr>
        <w:pStyle w:val="5"/>
        <w:spacing w:before="149" w:line="328" w:lineRule="auto"/>
        <w:ind w:right="456" w:firstLine="640"/>
        <w:rPr>
          <w:color w:val="auto"/>
          <w:highlight w:val="none"/>
        </w:rPr>
      </w:pPr>
      <w:r>
        <w:rPr>
          <w:color w:val="auto"/>
          <w:highlight w:val="none"/>
        </w:rPr>
        <w:t>（一）业务能力测试和综合素质考核</w:t>
      </w:r>
      <w:r>
        <w:rPr>
          <w:rFonts w:hint="eastAsia" w:ascii="仿宋_GB2312" w:hAnsi="Times New Roman" w:eastAsia="仿宋_GB2312" w:cs="仿宋_GB2312"/>
          <w:bCs/>
          <w:color w:val="auto"/>
          <w:highlight w:val="none"/>
          <w:lang w:val="en-US" w:bidi="ar"/>
        </w:rPr>
        <w:t>各占50%。</w:t>
      </w:r>
    </w:p>
    <w:p w14:paraId="4C2EEF0B">
      <w:pPr>
        <w:pStyle w:val="5"/>
        <w:spacing w:line="328" w:lineRule="auto"/>
        <w:ind w:right="499" w:firstLine="616"/>
        <w:jc w:val="both"/>
        <w:rPr>
          <w:color w:val="auto"/>
          <w:highlight w:val="none"/>
        </w:rPr>
      </w:pPr>
      <w:r>
        <w:rPr>
          <w:color w:val="auto"/>
          <w:spacing w:val="-12"/>
          <w:highlight w:val="none"/>
        </w:rPr>
        <w:t>（二）</w:t>
      </w:r>
      <w:r>
        <w:rPr>
          <w:color w:val="auto"/>
          <w:spacing w:val="-10"/>
          <w:highlight w:val="none"/>
        </w:rPr>
        <w:t xml:space="preserve">复试分满分 </w:t>
      </w:r>
      <w:r>
        <w:rPr>
          <w:color w:val="auto"/>
          <w:highlight w:val="none"/>
        </w:rPr>
        <w:t>100</w:t>
      </w:r>
      <w:r>
        <w:rPr>
          <w:color w:val="auto"/>
          <w:spacing w:val="-9"/>
          <w:highlight w:val="none"/>
        </w:rPr>
        <w:t xml:space="preserve"> 分，复试小组应对考生复试成绩</w:t>
      </w:r>
      <w:r>
        <w:rPr>
          <w:color w:val="auto"/>
          <w:highlight w:val="none"/>
        </w:rPr>
        <w:t>给出具体分数，60</w:t>
      </w:r>
      <w:r>
        <w:rPr>
          <w:color w:val="auto"/>
          <w:spacing w:val="-3"/>
          <w:highlight w:val="none"/>
        </w:rPr>
        <w:t xml:space="preserve"> 分以下为复试不及格，</w:t>
      </w:r>
      <w:r>
        <w:rPr>
          <w:color w:val="auto"/>
          <w:highlight w:val="none"/>
        </w:rPr>
        <w:t>60</w:t>
      </w:r>
      <w:r>
        <w:rPr>
          <w:color w:val="auto"/>
          <w:spacing w:val="-5"/>
          <w:highlight w:val="none"/>
        </w:rPr>
        <w:t xml:space="preserve"> 分</w:t>
      </w:r>
      <w:r>
        <w:rPr>
          <w:color w:val="auto"/>
          <w:highlight w:val="none"/>
        </w:rPr>
        <w:t>（含）</w:t>
      </w:r>
      <w:r>
        <w:rPr>
          <w:color w:val="auto"/>
          <w:spacing w:val="-6"/>
          <w:highlight w:val="none"/>
        </w:rPr>
        <w:t>以上</w:t>
      </w:r>
      <w:r>
        <w:rPr>
          <w:color w:val="auto"/>
          <w:highlight w:val="none"/>
        </w:rPr>
        <w:t>为复试及格。复试不及格者原则上取消录取资格。</w:t>
      </w:r>
    </w:p>
    <w:p w14:paraId="3FB80A07">
      <w:pPr>
        <w:pStyle w:val="5"/>
        <w:spacing w:line="328" w:lineRule="auto"/>
        <w:ind w:right="503" w:firstLine="64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（三</w:t>
      </w:r>
      <w:r>
        <w:rPr>
          <w:color w:val="auto"/>
          <w:spacing w:val="-8"/>
          <w:highlight w:val="none"/>
        </w:rPr>
        <w:t>）</w:t>
      </w:r>
      <w:r>
        <w:rPr>
          <w:color w:val="auto"/>
          <w:spacing w:val="-2"/>
          <w:highlight w:val="none"/>
        </w:rPr>
        <w:t>复试小组应在每位学生的《南昌航空大学推荐免</w:t>
      </w:r>
      <w:r>
        <w:rPr>
          <w:color w:val="auto"/>
          <w:spacing w:val="-1"/>
          <w:highlight w:val="none"/>
        </w:rPr>
        <w:t>试攻读硕士学位研究生复试表》</w:t>
      </w:r>
      <w:r>
        <w:rPr>
          <w:color w:val="auto"/>
          <w:highlight w:val="none"/>
        </w:rPr>
        <w:t>（</w:t>
      </w:r>
      <w:r>
        <w:rPr>
          <w:color w:val="auto"/>
          <w:spacing w:val="-3"/>
          <w:highlight w:val="none"/>
        </w:rPr>
        <w:t>简称《复试表》）</w:t>
      </w:r>
      <w:r>
        <w:rPr>
          <w:color w:val="auto"/>
          <w:spacing w:val="-5"/>
          <w:highlight w:val="none"/>
        </w:rPr>
        <w:t>中如实</w:t>
      </w:r>
      <w:r>
        <w:rPr>
          <w:color w:val="auto"/>
          <w:spacing w:val="-4"/>
          <w:highlight w:val="none"/>
        </w:rPr>
        <w:t>填写考察情况和成绩，《复试表》、复试原始记录等材料汇</w:t>
      </w:r>
      <w:r>
        <w:rPr>
          <w:color w:val="auto"/>
          <w:highlight w:val="none"/>
        </w:rPr>
        <w:t>总后报送研究生院。</w:t>
      </w:r>
    </w:p>
    <w:p w14:paraId="431C2EE1">
      <w:pPr>
        <w:pStyle w:val="3"/>
        <w:spacing w:line="405" w:lineRule="exact"/>
        <w:ind w:left="0" w:firstLine="643" w:firstLineChars="200"/>
        <w:rPr>
          <w:color w:val="auto"/>
          <w:highlight w:val="none"/>
        </w:rPr>
      </w:pPr>
      <w:r>
        <w:rPr>
          <w:color w:val="auto"/>
          <w:highlight w:val="none"/>
        </w:rPr>
        <w:t>五、</w:t>
      </w:r>
      <w:r>
        <w:rPr>
          <w:rFonts w:hint="eastAsia"/>
          <w:color w:val="auto"/>
          <w:highlight w:val="none"/>
        </w:rPr>
        <w:t>本细则</w:t>
      </w:r>
      <w:r>
        <w:rPr>
          <w:color w:val="auto"/>
          <w:highlight w:val="none"/>
        </w:rPr>
        <w:t>由</w:t>
      </w:r>
      <w:r>
        <w:rPr>
          <w:rFonts w:hint="eastAsia"/>
          <w:color w:val="auto"/>
          <w:highlight w:val="none"/>
          <w:lang w:val="en-US" w:eastAsia="zh-CN"/>
        </w:rPr>
        <w:t>土木与交通学院</w:t>
      </w:r>
      <w:r>
        <w:rPr>
          <w:color w:val="auto"/>
          <w:highlight w:val="none"/>
        </w:rPr>
        <w:t>负责解释，自公布之日起实施。</w:t>
      </w:r>
    </w:p>
    <w:p w14:paraId="577F6479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010D7EA4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49BB0267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591AD71F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4EB271C0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34A1F059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36F020BB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5A102E6D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5147649D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3FC7C240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4B885798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30257380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0F88025E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3C8DEB5B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5F9056AA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08ED040B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64AECB08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3FD861F8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0B942418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717400A4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417FD3C8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11052814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7705EDEE">
      <w:pPr>
        <w:pStyle w:val="5"/>
        <w:rPr>
          <w:rFonts w:ascii="黑体"/>
          <w:b/>
          <w:color w:val="auto"/>
          <w:sz w:val="20"/>
          <w:highlight w:val="none"/>
        </w:rPr>
      </w:pPr>
      <w:bookmarkStart w:id="0" w:name="_GoBack"/>
      <w:bookmarkEnd w:id="0"/>
    </w:p>
    <w:p w14:paraId="3D5A2954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262385AE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648210FD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470F67AE">
      <w:pPr>
        <w:pStyle w:val="5"/>
        <w:rPr>
          <w:rFonts w:ascii="黑体"/>
          <w:b/>
          <w:color w:val="auto"/>
          <w:sz w:val="20"/>
          <w:highlight w:val="none"/>
        </w:rPr>
      </w:pPr>
    </w:p>
    <w:p w14:paraId="568B5455">
      <w:pPr>
        <w:pStyle w:val="5"/>
        <w:rPr>
          <w:rFonts w:ascii="黑体"/>
          <w:b/>
          <w:color w:val="auto"/>
          <w:sz w:val="20"/>
          <w:highlight w:val="none"/>
        </w:rPr>
      </w:pPr>
    </w:p>
    <w:tbl>
      <w:tblPr>
        <w:tblStyle w:val="16"/>
        <w:tblW w:w="8800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38"/>
        <w:gridCol w:w="4262"/>
      </w:tblGrid>
      <w:tr w14:paraId="4088CB7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453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5379E4F">
            <w:pPr>
              <w:pStyle w:val="22"/>
              <w:spacing w:before="175" w:line="217" w:lineRule="auto"/>
              <w:ind w:left="353"/>
              <w:rPr>
                <w:rFonts w:hint="default" w:eastAsia="仿宋"/>
                <w:color w:val="auto"/>
                <w:highlight w:val="none"/>
                <w:lang w:val="en-US" w:eastAsia="zh-CN"/>
              </w:rPr>
            </w:pPr>
            <w:r>
              <w:rPr>
                <w:color w:val="auto"/>
                <w:spacing w:val="-3"/>
                <w:highlight w:val="none"/>
              </w:rPr>
              <w:t>南昌航空大学</w:t>
            </w:r>
            <w:r>
              <w:rPr>
                <w:rFonts w:hint="eastAsia"/>
                <w:color w:val="auto"/>
                <w:spacing w:val="-3"/>
                <w:highlight w:val="none"/>
                <w:lang w:val="en-US" w:eastAsia="zh-CN"/>
              </w:rPr>
              <w:t>土木与交通学院</w:t>
            </w:r>
          </w:p>
        </w:tc>
        <w:tc>
          <w:tcPr>
            <w:tcW w:w="426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0ED2145">
            <w:pPr>
              <w:pStyle w:val="22"/>
              <w:spacing w:before="175" w:line="217" w:lineRule="auto"/>
              <w:ind w:left="1270"/>
              <w:rPr>
                <w:color w:val="auto"/>
                <w:highlight w:val="none"/>
              </w:rPr>
            </w:pPr>
            <w:r>
              <w:rPr>
                <w:color w:val="auto"/>
                <w:spacing w:val="-14"/>
                <w:highlight w:val="none"/>
              </w:rPr>
              <w:t>202</w:t>
            </w:r>
            <w:r>
              <w:rPr>
                <w:rFonts w:hint="eastAsia"/>
                <w:color w:val="auto"/>
                <w:spacing w:val="-14"/>
                <w:highlight w:val="none"/>
                <w:lang w:val="en-US" w:eastAsia="zh-CN"/>
              </w:rPr>
              <w:t>4</w:t>
            </w:r>
            <w:r>
              <w:rPr>
                <w:color w:val="auto"/>
                <w:spacing w:val="-49"/>
                <w:highlight w:val="none"/>
              </w:rPr>
              <w:t xml:space="preserve"> </w:t>
            </w:r>
            <w:r>
              <w:rPr>
                <w:color w:val="auto"/>
                <w:spacing w:val="-14"/>
                <w:highlight w:val="none"/>
              </w:rPr>
              <w:t>年</w:t>
            </w:r>
            <w:r>
              <w:rPr>
                <w:color w:val="auto"/>
                <w:spacing w:val="-42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spacing w:val="-14"/>
                <w:highlight w:val="none"/>
                <w:lang w:val="en-US" w:eastAsia="zh-CN"/>
              </w:rPr>
              <w:t>9</w:t>
            </w:r>
            <w:r>
              <w:rPr>
                <w:color w:val="auto"/>
                <w:spacing w:val="-46"/>
                <w:highlight w:val="none"/>
              </w:rPr>
              <w:t xml:space="preserve"> </w:t>
            </w:r>
            <w:r>
              <w:rPr>
                <w:color w:val="auto"/>
                <w:spacing w:val="-14"/>
                <w:highlight w:val="none"/>
              </w:rPr>
              <w:t>月</w:t>
            </w:r>
            <w:r>
              <w:rPr>
                <w:color w:val="auto"/>
                <w:spacing w:val="-51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spacing w:val="-14"/>
                <w:highlight w:val="none"/>
                <w:lang w:val="en-US" w:eastAsia="zh-CN"/>
              </w:rPr>
              <w:t xml:space="preserve">6 </w:t>
            </w:r>
            <w:r>
              <w:rPr>
                <w:color w:val="auto"/>
                <w:spacing w:val="-14"/>
                <w:highlight w:val="none"/>
              </w:rPr>
              <w:t>日印发</w:t>
            </w:r>
          </w:p>
        </w:tc>
      </w:tr>
    </w:tbl>
    <w:p w14:paraId="26E4CA7A">
      <w:pPr>
        <w:pStyle w:val="5"/>
        <w:spacing w:before="8"/>
        <w:rPr>
          <w:rFonts w:ascii="黑体"/>
          <w:b/>
          <w:color w:val="auto"/>
          <w:sz w:val="10"/>
          <w:highlight w:val="none"/>
        </w:rPr>
      </w:pPr>
    </w:p>
    <w:p w14:paraId="0175F80A">
      <w:pPr>
        <w:spacing w:line="240" w:lineRule="auto"/>
        <w:rPr>
          <w:color w:val="auto"/>
          <w:sz w:val="28"/>
          <w:highlight w:val="none"/>
        </w:rPr>
      </w:pPr>
    </w:p>
    <w:sectPr>
      <w:footerReference r:id="rId3" w:type="default"/>
      <w:pgSz w:w="11910" w:h="16840"/>
      <w:pgMar w:top="1600" w:right="1300" w:bottom="1180" w:left="1300" w:header="0" w:footer="99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533FB5-371F-49BD-819A-C7718EE2F9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472EE72-9352-4B60-98E7-A7336E406A6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42B1585-7A3E-4656-A691-2C01FA83A46E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2531B">
    <w:pPr>
      <w:pStyle w:val="5"/>
      <w:spacing w:line="14" w:lineRule="auto"/>
      <w:rPr>
        <w:sz w:val="20"/>
      </w:rPr>
    </w:pPr>
    <w:r>
      <w:rPr>
        <w:sz w:val="20"/>
      </w:rPr>
      <w:pict>
        <v:shape id="_x0000_s4099" o:spid="_x0000_s409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71A7E93">
                <w:pPr>
                  <w:pStyle w:val="8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UyZDE4NTgwYjZiNDA1YThkODA0OGE1Mjc5OTg3ODMifQ=="/>
  </w:docVars>
  <w:rsids>
    <w:rsidRoot w:val="00C7485D"/>
    <w:rsid w:val="003F4FF2"/>
    <w:rsid w:val="006D233D"/>
    <w:rsid w:val="00C7485D"/>
    <w:rsid w:val="015C3EDF"/>
    <w:rsid w:val="0FC12A8F"/>
    <w:rsid w:val="12546ECC"/>
    <w:rsid w:val="14052799"/>
    <w:rsid w:val="14C0618F"/>
    <w:rsid w:val="16734C50"/>
    <w:rsid w:val="18CB0BDF"/>
    <w:rsid w:val="1AB73005"/>
    <w:rsid w:val="1BD73E45"/>
    <w:rsid w:val="1CC47F67"/>
    <w:rsid w:val="1EEE5B19"/>
    <w:rsid w:val="212B5A7B"/>
    <w:rsid w:val="230961F8"/>
    <w:rsid w:val="27156CCD"/>
    <w:rsid w:val="2CA822FA"/>
    <w:rsid w:val="3163566D"/>
    <w:rsid w:val="33323549"/>
    <w:rsid w:val="3B1963E5"/>
    <w:rsid w:val="3F331425"/>
    <w:rsid w:val="407919F5"/>
    <w:rsid w:val="487B6002"/>
    <w:rsid w:val="49551C16"/>
    <w:rsid w:val="4B664014"/>
    <w:rsid w:val="4DE441A3"/>
    <w:rsid w:val="50102C8F"/>
    <w:rsid w:val="52424B66"/>
    <w:rsid w:val="551323C2"/>
    <w:rsid w:val="57307B68"/>
    <w:rsid w:val="5EAB4EFB"/>
    <w:rsid w:val="621D1523"/>
    <w:rsid w:val="62302415"/>
    <w:rsid w:val="62973071"/>
    <w:rsid w:val="65A66782"/>
    <w:rsid w:val="6AF73C36"/>
    <w:rsid w:val="76FE439A"/>
    <w:rsid w:val="7AF11F0E"/>
    <w:rsid w:val="7C860807"/>
    <w:rsid w:val="7CB579CC"/>
    <w:rsid w:val="7DEE3256"/>
    <w:rsid w:val="7EBF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autoRedefine/>
    <w:qFormat/>
    <w:uiPriority w:val="1"/>
    <w:pPr>
      <w:ind w:left="377"/>
      <w:outlineLvl w:val="0"/>
    </w:pPr>
    <w:rPr>
      <w:b/>
      <w:bCs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143"/>
      <w:outlineLvl w:val="1"/>
    </w:pPr>
    <w:rPr>
      <w:rFonts w:ascii="黑体" w:hAnsi="黑体" w:eastAsia="黑体" w:cs="黑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autoRedefine/>
    <w:qFormat/>
    <w:uiPriority w:val="0"/>
  </w:style>
  <w:style w:type="paragraph" w:styleId="5">
    <w:name w:val="Body Text"/>
    <w:basedOn w:val="1"/>
    <w:autoRedefine/>
    <w:qFormat/>
    <w:uiPriority w:val="1"/>
    <w:rPr>
      <w:sz w:val="32"/>
      <w:szCs w:val="32"/>
    </w:rPr>
  </w:style>
  <w:style w:type="paragraph" w:styleId="6">
    <w:name w:val="Body Text Indent"/>
    <w:basedOn w:val="1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7">
    <w:name w:val="Balloon Text"/>
    <w:basedOn w:val="1"/>
    <w:link w:val="21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18"/>
    </w:rPr>
  </w:style>
  <w:style w:type="paragraph" w:styleId="9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qFormat/>
    <w:uiPriority w:val="99"/>
    <w:pPr>
      <w:widowControl/>
      <w:spacing w:before="72" w:after="72" w:line="336" w:lineRule="auto"/>
    </w:pPr>
    <w:rPr>
      <w:rFonts w:ascii="宋体" w:hAnsi="宋体"/>
      <w:sz w:val="24"/>
      <w:szCs w:val="20"/>
    </w:rPr>
  </w:style>
  <w:style w:type="paragraph" w:styleId="11">
    <w:name w:val="annotation subject"/>
    <w:basedOn w:val="4"/>
    <w:next w:val="4"/>
    <w:link w:val="20"/>
    <w:autoRedefine/>
    <w:qFormat/>
    <w:uiPriority w:val="0"/>
    <w:rPr>
      <w:b/>
      <w:bCs/>
    </w:rPr>
  </w:style>
  <w:style w:type="table" w:styleId="13">
    <w:name w:val="Table Grid"/>
    <w:basedOn w:val="12"/>
    <w:autoRedefine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annotation reference"/>
    <w:basedOn w:val="14"/>
    <w:autoRedefine/>
    <w:qFormat/>
    <w:uiPriority w:val="0"/>
    <w:rPr>
      <w:sz w:val="21"/>
      <w:szCs w:val="21"/>
    </w:rPr>
  </w:style>
  <w:style w:type="table" w:customStyle="1" w:styleId="16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autoRedefine/>
    <w:qFormat/>
    <w:uiPriority w:val="1"/>
  </w:style>
  <w:style w:type="paragraph" w:customStyle="1" w:styleId="18">
    <w:name w:val="Table Paragraph"/>
    <w:basedOn w:val="1"/>
    <w:autoRedefine/>
    <w:qFormat/>
    <w:uiPriority w:val="1"/>
    <w:rPr>
      <w:rFonts w:ascii="宋体" w:hAnsi="宋体" w:eastAsia="宋体" w:cs="宋体"/>
    </w:rPr>
  </w:style>
  <w:style w:type="character" w:customStyle="1" w:styleId="19">
    <w:name w:val="批注文字 字符"/>
    <w:basedOn w:val="14"/>
    <w:link w:val="4"/>
    <w:autoRedefine/>
    <w:qFormat/>
    <w:uiPriority w:val="0"/>
    <w:rPr>
      <w:rFonts w:ascii="仿宋" w:hAnsi="仿宋" w:eastAsia="仿宋" w:cs="仿宋"/>
      <w:sz w:val="22"/>
      <w:szCs w:val="22"/>
      <w:lang w:val="zh-CN" w:bidi="zh-CN"/>
    </w:rPr>
  </w:style>
  <w:style w:type="character" w:customStyle="1" w:styleId="20">
    <w:name w:val="批注主题 字符"/>
    <w:basedOn w:val="19"/>
    <w:link w:val="11"/>
    <w:autoRedefine/>
    <w:qFormat/>
    <w:uiPriority w:val="0"/>
    <w:rPr>
      <w:rFonts w:ascii="仿宋" w:hAnsi="仿宋" w:eastAsia="仿宋" w:cs="仿宋"/>
      <w:b/>
      <w:bCs/>
      <w:sz w:val="22"/>
      <w:szCs w:val="22"/>
      <w:lang w:val="zh-CN" w:bidi="zh-CN"/>
    </w:rPr>
  </w:style>
  <w:style w:type="character" w:customStyle="1" w:styleId="21">
    <w:name w:val="批注框文本 字符"/>
    <w:basedOn w:val="14"/>
    <w:link w:val="7"/>
    <w:autoRedefine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paragraph" w:customStyle="1" w:styleId="22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9108</Words>
  <Characters>9419</Characters>
  <Lines>70</Lines>
  <Paragraphs>19</Paragraphs>
  <TotalTime>29</TotalTime>
  <ScaleCrop>false</ScaleCrop>
  <LinksUpToDate>false</LinksUpToDate>
  <CharactersWithSpaces>10512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2022-09-07T08:36:00Z</dcterms:created>
  <dc:creator>yk</dc:creator>
  <cp:lastModifiedBy>Lynn</cp:lastModifiedBy>
  <cp:lastPrinted>2024-09-05T06:48:00Z</cp:lastPrinted>
  <dcterms:modified xsi:type="dcterms:W3CDTF">2024-09-06T01:55:18Z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2022-09-07T00:00:00Z</vt:filetime>
  </property>
  <property fmtid="{D5CDD505-2E9C-101B-9397-08002B2CF9AE}" pid="5" name="KSOProductBuildVer">
    <vt:lpwstr>2052-12.1.0.17133</vt:lpwstr>
  </property>
  <property fmtid="{D5CDD505-2E9C-101B-9397-08002B2CF9AE}" pid="6" name="ICV">
    <vt:lpwstr>91B5C7976A2B4F7189017541AE42F155</vt:lpwstr>
  </property>
</Properties>
</file>